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2010/63 vom 9. November 2010</w:t>
      </w:r>
    </w:p>
    <w:p>
      <w:r>
        <w:t>Bundesverwaltungsgericht, 2010-11-09, DE</w:t>
      </w:r>
    </w:p>
    <w:p>
      <w:r>
        <w:rPr>
          <w:b/>
        </w:rPr>
        <w:t xml:space="preserve">Quelle: </w:t>
      </w:r>
      <w:r>
        <w:t>https://mcp.opencaselaw.ch/entscheid/bvger_BVGE 2010_63</w:t>
      </w:r>
    </w:p>
    <w:p>
      <w:r>
        <w:t>FR: TAF BVGE 2010/63 du 9 novembre 2010</w:t>
      </w:r>
    </w:p>
    <w:p>
      <w:r>
        <w:t>IT: TAF BVGE 2010/63 del 9 novembre 2010</w:t>
      </w:r>
    </w:p>
    <w:p>
      <w:pPr>
        <w:pStyle w:val="Heading2"/>
      </w:pPr>
      <w:r>
        <w:t>Regeste</w:t>
      </w:r>
    </w:p>
    <w:p>
      <w:r>
        <w:t>Finanzmarktaufsicht</w:t>
      </w:r>
    </w:p>
    <w:p>
      <w:pPr>
        <w:pStyle w:val="Heading2"/>
      </w:pPr>
      <w:r>
        <w:t>Erwägungen</w:t>
      </w:r>
    </w:p>
    <w:p>
      <w:r>
        <w:rPr>
          <w:b/>
        </w:rPr>
        <w:t>E. 9</w:t>
      </w:r>
    </w:p>
    <w:p>
      <w:r>
        <w:t>Es ist weiter zu prüfen, ob die beiden Beschwerdeführer in ge­meinsamer Absprache nach Art. 20 Abs. 1 und 3 BEHG beziehungs­weise Art. 15 BEHV-EBK gehandelt haben (E. 9) und der Erwerb von Bar­aus­gleichsoptionen der Meldepflicht von Art. 20 BEHG und Art. 9 BEHV-EBK untersteht (...). Eine gemeinsame Absprache nach Art. 20 Abs. 1 und 3 BEHG bezie­hungs­weise Art. 15 BEHV-EBK zwischen den beiden Beschwerde­füh­rern hätte zur Folge, dass ab dem Zeitpunkt der Bejahung einer Gruppe die Handlungen beider Personen der Gruppe zuzurechnen wären. Gemäss Verfügung der Vorinstanz meldete die aus den beiden Beschwer­deführern gebildete Gruppe die Überschreitung des 5 %-Schwellenwertes am 13. Dezember 2006 und diejenige des 10 %-Schwellenwertes am 12. Ja­nuar 2007 nicht fristgerecht. Der Beschwerdeführer 2 macht demgegenüber geltend, eine weiter­gehende Zusammenarbeit mit dem Beschwerdeführer 1 habe lediglich ab dem 16. April 2007 bestanden.</w:t>
      </w:r>
    </w:p>
    <w:p>
      <w:r>
        <w:rPr>
          <w:b/>
        </w:rPr>
        <w:t>E. 9.1</w:t>
      </w:r>
    </w:p>
    <w:p>
      <w:r>
        <w:t>Entscheidendes gemeinsames Kriterium von Art. 20 Abs. 1 und 3 BEHG und Art. 15 Abs. 1 und 2 BEHV-EBK ist das abgestimmte Ver­halten bei Erwerb oder Veräusserung von Beteiligungspapieren oder bei Ausübung des Stimmrechts. Massgeblich ist im Einzelfall, ob eine Aus­richtung auf ein gemeinsames Ziel hin durch den Einsatz gemein­samer Mittel und Kräfte zumindest konkludent vereinbart ist und dabei die Einzelinteressen den Gesamtinteressen der organisierten Gruppe be­zie­hungsweise der gemeinsamen Absprache hintenanstehen. Eine Ko­ordi­nation des gemeinsamen Verhaltens setzt somit eine bewusste in­tensive Kommunikation voraus (Weber, a. a. O, N 67a zu Art. 20 BEHG). Das Zusammenwirken der Personen muss dabei eine qualifizierte Inten­sität und ein Minimum an innerer Organisiertheit erreichen (BGE 130 II 530 E. 6.4.3). Die gemeinsame Vertretung gleicher Interessen, mithin die Begründung einer Interessengemeinschaft, stellt eine einfache Gesell­schaft dar, welche ihrerseits als eine Gruppe im Sinne von Art. 15 BEHV-EBK qualifiziert wird. Dass die Absprachen über eine gewisse Zeit­spanne hinweg erfolgt wären, ist nicht nötig.</w:t>
      </w:r>
    </w:p>
    <w:p>
      <w:r>
        <w:rPr>
          <w:b/>
        </w:rPr>
        <w:t>E. 9.2</w:t>
      </w:r>
    </w:p>
    <w:p>
      <w:r>
        <w:t>Aus diesen Ausführungen ist zu schliessen, dass zur Erfüllung des Tatbestands des Handelns in gemeinsamer Absprache keine allzu hohen Anforderungen gestellt werden dürfen. Entscheidend ist, dass die fraglichen Verhaltensabstimmungen einen zeitlichen und inhaltlichen Bezug zu den von der Vorinstanz gerügten Meldepflichtverletzungen vom 13. Dezember 2006 und 12. Januar 2007 aufweisen. Dieser inhaltliche und zeitliche Bezug muss des Weiteren dem erfor­der­lichen Beweismass im Verwaltungsverfahren entsprechen. Das Gericht hat unter Berücksichtigung der Gesamtheit der ihm zur Verfügung stehenden Erkenntnisse einen Sachverhalt zu werten. Das VwVG setzt keine unumstössliche Gewissheit voraus und sieht auch keine starren Beweisregeln vor; genügend ist vielmehr « ein so hoher Grad an Wahr­scheinlichkeit, dass keine vernünftigen Zweifel bleiben » (BGE 122 V 157 E. 1d; Urteil des BGer 2A.500/2002 vom 24. März 2003 E. 3.5). Blosse Vermutungen sowie Möglichkeiten eines bestimmten Sach­ver­halts stellen hingegen keine hinreichende Sachverhaltsfeststellung dar (Thomas Merkli/Arthur Aeschlimann/Ruth Herzog, Kommentar zum Gesetz vom 23. Mai 1989 über die Verwaltungsrechtspflege des Kantons Bern, Bern 1997, zu Art. 18 N 8).</w:t>
      </w:r>
    </w:p>
    <w:p>
      <w:r>
        <w:rPr>
          <w:b/>
        </w:rPr>
        <w:t>E. 9.3</w:t>
      </w:r>
    </w:p>
    <w:p>
      <w:r>
        <w:t>Dass die Beschwerdeführer 1 und 2 eine Gruppe bildeten, ergibt sich aus folgenden Umständen: Einerseits ermöglichte der Beschwerde­führer 2 durch sein (finanzielles) Engagement in der Victory dem Be­schwerdeführer 1, den Beteiligungsaufbau an Sulzer voranzutreiben. Andererseits fällt auf, dass die beiden Beschwerdeführer massgebend die gleichen Interessen - den Erwerb der durch die Banken als Sicherheit ge­haltenen Sulzer-Aktien - verfolgten und umsetzten (siehe hierzu E. 11). Die dadurch gebildete Interessengemeinschaft ist als einfache Gesell­schaft zu qualifizieren und wird von Art. 15 BEHV-EBK erfasst. Dabei wird selbst durch die beiden Beschwerdeführer anerkannt, dass im Zeit­raum der strukturierten Transaktion mit der Deutschen Bank London (DBL) beziehungsweise dass ab dem 16. April 2007 eine weitergehende Zu­sammenarbeit bestanden habe. Wie in E. 8.2 festgehalten, verfügte die Victory am 12. Januar 2007 über eine beträchtliche Anzahl an Sulzer-Optionen; die Interessengemeinschaft bestand somit zumindest seit dem 12. Januar 2007.</w:t>
      </w:r>
    </w:p>
    <w:p>
      <w:r>
        <w:rPr>
          <w:b/>
        </w:rPr>
        <w:t>E. 9.4</w:t>
      </w:r>
    </w:p>
    <w:p>
      <w:r>
        <w:t>Eine gemeinsame Absprache der Beschwerdeführer für den Zeitraum vor dem 12. Januar 2007 ist hingegen nicht erwiesen. Wie vom Beschwerdeführer 1 zu Recht gerügt, bezieht sich keines der von der Vorinstanz vorgebrachten Argumente direkt oder indirekt auf den Zeit­raum vor dem 12. Januar 2007. Die von der Vorinstanz in diesem Zu­sam­menhang aufgelisteten Argumente zur Frage der organisierten Gruppe zwischen den beiden Beschwerdeführern beziehen sich vielmehr (1) auf die Victory, die am 12. Januar 2007 und im April 2007 Sulzer-Be­tei­li­gungen kaufte, (2) auf Befragungen und Dokumenten von invol­vierten Banken mit Schwergewicht März und April 2007 sowie (3) auf zwei Aktennotizen des CEO von Sulzer vom 29. Januar 2007 und 14. Februar 2007. Damit wird einerseits die vom BGer im Fall Quadrant definierte qualifizierte Intensität und das Minimum an innerer Orga­ni­siertheit in Bezug auf das Zusammenwirken von Personen im Offen­legungsrecht nicht erreicht (BGE 130 II 530 E. 6.4.3). Andererseits wird durch das Abstellen der Vorinstanz auf die blosse Möglichkeit eines be­stimmten Sachverhalts den Anforderungen an das Beweismass im Ver­waltungs­verfahren nicht Genüge getan, weshalb die Frage der orga­nisierten Gruppe für den Zeitraum vor dem 12. Januar 2007 zwi­schen den beiden Beschwerdeführern zu verneinen ist.</w:t>
      </w:r>
    </w:p>
    <w:p>
      <w:r>
        <w:rPr>
          <w:b/>
        </w:rPr>
        <w:t>E. 9.5</w:t>
      </w:r>
    </w:p>
    <w:p>
      <w:r>
        <w:t>Es kann somit festgehalten werden, dass die beiden Beschwer­de­führer für den Zeitraum vom 12. Januar 2007 bis 26. April 2007 eine organisierte Gruppe im Sinne von Art. 15 BEHV-EBK darstellten. Hand­lungen der einzelnen Gruppenmitglieder sind dementsprechend ab dem 12. Januar 2007 der Gruppe und damit beiden Gruppenmitgliedern zuzurechnen.</w:t>
      </w:r>
    </w:p>
    <w:p>
      <w:r>
        <w:rPr>
          <w:b/>
        </w:rPr>
        <w:t>E. 10</w:t>
      </w:r>
    </w:p>
    <w:p>
      <w:r>
        <w:t>(...)</w:t>
      </w:r>
    </w:p>
    <w:p>
      <w:r>
        <w:rPr>
          <w:b/>
        </w:rPr>
        <w:t>E. 11</w:t>
      </w:r>
    </w:p>
    <w:p>
      <w:r>
        <w:t>Wesentlich ist (...) im vorliegenden Fall, ob faktisch eine Be­tei­ligung aufgebaut wurde, die die börsenrechtlichen Meldepflichten aus­löste. Dabei muss zumindest einer der Beschwerdeführer (als Vertreter der Gruppe oder als Alleinhandelnder) das Vorstadium der reinen Pla­nung verlassen haben und ein aktives Verhalten an den Tag gelegt haben. Im Rahmen des Beteiligungsaufbaus war insbesondere der Beschwer­de­führer 1 gegen aussen aktiv tätig. Nachfolgend werden deshalb die ver­schiedenen Aktivitäten des Beschwerdeführers 1, die zum Beteiligungs­aufbau führten, aufgezeigt.</w:t>
      </w:r>
    </w:p>
    <w:p>
      <w:r>
        <w:rPr>
          <w:b/>
        </w:rPr>
        <w:t>E. 11.1</w:t>
      </w:r>
    </w:p>
    <w:p>
      <w:r>
        <w:t>Vorab ist auf den Einwand des Beschwerdeführers 1 einzu­gehen, der Erwerb der Sulzer-Aktien sei für ihn einzig eine von mehreren Finanzinvestitionen gewesen. Bei einer Option mit Barausgleich tauschen die Parteien bei Verfall und Ausübung der Option den Differenzbetrag zwischen dem Kassakurs des Basiswertes und dem Ausübungspreis aus. Die Optionen mit Bar­ausgleich erlauben einem Finanzinvestor, bei Unternehmen mit unge­nutztem Potential auf dem Markt, einen Teil des potentiellen Mehrwerts für sich selbst sichern zu können, das heisst ermöglichen rein finanzielle Interessen zu befriedigen. Eine gegenläufige Zielsetzung wird indessen aus dem E-Mail-Verkehr zwischen der NZB und dem Beschwerde­füh­rer 1 ersichtlich. Dort wurde die Frage erörtert, ob Deltapositionen, das heisst als Sicherheit gehaltene Aktien von den emittierenden Banken (D.-Bank und E.-Bank), für die Generalversammlung der Sulzer vom 4. April 2007 entlehnt (« gelendet ») werden können (...). Mit « lending » sprach der Beschwerdeführer 1 offensichtlich die Wert­papierleihe (« Securities lending ») an. Entgegen dem Namen handelt es sich bei der Wert­papier­leihe indes nicht um eine Leihe, sondern um ein Sachdarlehen in Wertpa­pieren (Art. 312 ff. des Obligationenrechts vom 30. März 1911 [OR, SR 220]). Dabei gehen die mit den Aktien verbundenen Stimmrechte auf den Borger über (vgl. Urs Bertschinger, in: Max Boemle/Max Gsell/Jean-Pierre Jetzer/Paul Nyffeler/Christian Thalmann [Hrsg.], Geld-, Bank- und Finanzmarkt-Lexikon der Schweiz, Zürich 2002, S. 945). Damit rückte der Beschwerdeführer 1 ein Ziel in den Vordergrund, welches über Op­tionen mit Barausgleich gemäss deren Zweckbestimmung und Ausge­staltung her nicht zu erreichen ist. Die Argumentation des Beschwer­de­führers 1 erscheint in diesem Licht nicht als glaubwürdig. In diesem Zusammenhang kann dem Beschwerdeführer auch nicht ge­folgt werden, wenn er vorbringt, er habe die Optionen mit Barausgleich lediglich im Sinne einer Geldanlage erworben, um von einem Kurs­an­stieg zu profitieren. Wie in BGE 136 II 304 E. 7.7 ausgeführt, bezweckt die Offenlegungspflicht von Art. 20 BEHG, die Transparenz für die An­leger und deren Gleichbehandlung sicherzustellen sowie den Rahmen zu schaffen, um die Funktionsfähigkeit der Effektenmärkte zu gewähr­leis­ten. Aus welchem Grund beziehungsweise mit welcher Absicht jemand eine massgebliche Beteiligung erwirbt, die zur Meldepflicht führt, ist indes nicht von Belang.</w:t>
      </w:r>
    </w:p>
    <w:p>
      <w:r>
        <w:rPr>
          <w:b/>
        </w:rPr>
        <w:t>E. 11.2</w:t>
      </w:r>
    </w:p>
    <w:p>
      <w:r>
        <w:t>Der Beteiligungsaufbau im Zeitraum vom 9. November 2006 bis 20. April 2007 erfolgte über eine Vielzahl von Transaktionen, wobei meh­rere Bankinstitute beteiligt waren (ZKB, NZB, Deutsche Bank AG, DBZ, DBL, B.-Bank und die A.-Bank). Bezüglich der detaillierten Dar­stellung der einzelnen Transaktionen kann auf die Ver­fügung der Vor­instanz vom 22. Januar 2009 verwiesen werden, welche eine korrekte Darstellung der über die Bankinstitute vorgenommenen Handelsaktivi­täten in Sulzer-Aktien und -optionen - namentlich mit dem Beschwerde­führer 1 - enthält (...). Gestützt auf die Akten ist festzuhalten, dass ähnlich wie im Fall Saurer (...) für die Emissionsbanken « Gegengeschäfte » bestanden, zumal diesen der Erwerb von Aktien für die Absicherung der verkauften Op­tio­nen ermöglicht wurde. Wie in einer internen E-Mail der ZKB vom 24. April 2007 (...) ersichtlich ist, wurde ein Teil der Aktien von der « Gegenpartei », das heisst der A.-Bank, geliefert (...). Auf Grund von Aussagen von Händlern der ZKB kam die Unter­suchungsbeauftragte KPMG Fides Peat (KPMG) bei der ZKB in nicht zu beanstandender Weise zum Schluss, dass der Verkauf von SUN-Warrants an die A.-Bank beziehungsweise die B.-Bank wie auch der Kauf von SUN-Blöcken von der A.-Bank in aller Regel vorgängig durch den Be­schwerdeführer 1 initiiert und ausgehandelt worden waren. Faktisch hat der Beschwerdeführer 1 somit über das Zustandekommen der Ge­schäfte entschieden; die A.-Bank beziehungsweise die B.-Bank führten dem­ge­genüber nur die vom Beschwerdeführer 1 vorgängig verein­barten Trans­aktionen aus. Anlässlich eines Treffens zwischen dem Beschwerde­führer 1 und der ZKB Ende Oktober 2006 hat sich der Beschwerde­führer 1 danach erkundigt, ob die ZKB Optionen auf Sulzer emittieren können und in welcher Grössenordnung. Weiter erkundigte sich der Beschwerde­führer 1 Anfang 2007 bei einem Händler der NZB, ob es während der Laufzeit der Optionen möglich ist, diese von « cash » in « physisches » Settlement zu wechseln. Er erhielt die Antwort, dass dies jederzeit möglich sei (...). Beim physischen Settlement wird der Basis­wert bei Ausübung der Option physisch übertragen. Optionen, für die physisches Settlement vereinbart wurde, sind somit ein Weg, indirekt in den Besitz der ihnen unterliegenden Basiswerte zu kommen. Den Akten ist zu ent­nehmen, dass die ZKB bereits am 13. Dezember 2006 für den Be­schwer­deführer 1 erstmals Optionen mit Barausgleich emittierte. Daraus ergibt sich, dass der Beschwerdeführer 1 über den Rückverkauf der Optionen an das jeweilige Bankinstitut sich die Sulzer-Aktien und damit die Stimm­rechte einräumen konnte. Die Lieferung von Aktien zur Absicherung der Optionsscheine erfolgte bei der NZB in gleicher Weise. Ein Mitarbeiter der NZB erklärte in zwei Interviews gegenüber der KPMG, die NZB sei bestrebt gewesen, das Delta zu erbringen, wobei die Verkäufe auch vom Kunden kommen könnten (siehe zum Begriff « Delta » E. 11.3). Der Beschwerdeführer 1 habe nicht alle Aktien physisch gewollt und habe daher den Auftrag erteilt, diese in Optionen zu packen. Daher seien gewisse Aktien an die anderen Banken als « Delta Hedge » geliefert worden (...).</w:t>
      </w:r>
    </w:p>
    <w:p>
      <w:r>
        <w:rPr>
          <w:b/>
        </w:rPr>
        <w:t>E. 11.3</w:t>
      </w:r>
    </w:p>
    <w:p>
      <w:r>
        <w:t>Vorliegend massgebend für die Bejahung des faktischen Auf­baus und des aktiven Verhaltens des Beschwerdeführers 1 ist die Abnah­me der von den Banken als Sicherheit gehaltenen Sulzer-Aktien. Die Bank sichert das Erfüllungsrisiko bei der Ausgabe von Optionen mit Barausgleich oder mit Realerfüllung durch den Kauf von Aktien der betroffenen Gesellschaft ab (« Hedge »). Im Vordergrund des Hedging steht das Ziel, mögliche Verluste abzuschwächen. Optimales Hedging bedeutet indes nicht eine vollständige Absicherung der möglichen Risi­ken. Bei Optionspositionen richtet sich die Absicherung nach dem « Delta ». Das Delta gibt die absolute Veränderung des theoretischen Op­tionspreises in Abhängigkeit von der Kursveränderung des zugrunde liegenden Basiswerts wieder. Als « Delta neutral » wird eine Options­position bezeichnet, deren Wert sich bei einer Veränderung des Basis­werts nicht verändert. Überschiesst das Sicherungsgeschäft das Grund­geschäft, das heisst, die Optionsposition wird höher als im Verhältnis 1:1 abgesichert, liegt ein « Overhedge » vor (Max Boemle/Max Gsell/Jean-Pierre Jetzer/Paul Nyffeler/Christian Thalmann, Geld-, Bank- und Finanzmarkt-Lexikon der Schweiz, Zürich 2002, S. 293 f., S. 547 f.). Die ZKB baute die Aktienpositionen weit über den Delta Hedge aus, wie der Untersuchungsbericht der KPMG bei der ZKB aufzeigt (...). Der Sulzer-Nostrobestand, das heisst die eigenen Effekten der ZKB, wurde von dieser nicht nur deltaneutral, sondern 1:1 zur Warrants-Position des Beschwerdeführers 1 ausgebaut. Diese ungewöhnlich hohe Absicherung der Sulzer-Optionspositionen und die bisherigen Erfahrungen der ZKB mit dem Beschwerdeführer 1 i. S. Saurer gegen Oerlikon deuten darauf hin, dass die ZKB davon ausgehen konnte beziehungsweise ausging, die Titel unabhängig von der Ausgestaltung der Optionen physisch an den Beschwerdeführer 1 liefern zu können. Im Vorfeld der Offenlegungsmeldung der Everest GmbH vom 26. April 2007 war neben der ZKB insbesondere die DBZ und die DBL an den Transaktionen für den Aufbau der Sulzer-Aktien beteiligt. Die Transak­tionen beinhalteten zusammenfassend den Kauf und die Finanzierung des Erwerbs von 600'000 Sulzer-Aktien, was einer Beteiligung von 16,5 % an Sulzer entspricht. Im Rahmen der Transaktion verkauften die DBZ und die ZKB je 300'000 Sulzer-Aktien an die DBL, die der Everest schluss­endlich die faktische Kontrolle über 600'000 Sulzer-Aktien ermöglichte. Nachfolgend wird dargelegt wie die als Sicherheit gehaltenen Sulzer-Ak­tien von den involvierten Banken unter die Kontrolle der Everest und damit beider Beschwerdeführer gelangten (...).</w:t>
      </w:r>
    </w:p>
    <w:p>
      <w:r>
        <w:rPr>
          <w:b/>
        </w:rPr>
        <w:t>E. 11.3.1</w:t>
      </w:r>
    </w:p>
    <w:p>
      <w:r>
        <w:t>11.3.3 (...)</w:t>
      </w:r>
    </w:p>
    <w:p>
      <w:r>
        <w:rPr>
          <w:b/>
        </w:rPr>
        <w:t>E. 11.4</w:t>
      </w:r>
    </w:p>
    <w:p>
      <w:r>
        <w:t>Diese Vorgänge zeigen auf, dass der Beschwerdeführer 1 und die Gruppe durch den Einsatz von Derivaten Aktien und Optionen der Sulzer erwerben und damit unter ihre Kontrolle bringen konnten. Mit anderen Worten die Investoren konnten trotz der ursprünglich verein­bar­ten Barabgeltung die physische Lieferung von Aktien erreichen, indem sie kurzfristig die Settlement-Methode änderten. Dies ist bei OTC-Op­tio­nen - anders als bei börsengehandelten Optionen (Traded Options) - einfach durch Ände­rung der Vereinbarung unter den Parteien möglich. Demgemäss konnten die Beschwerdeführer die als Sicherheit gehaltenen Sulzer-Aktien der Banken mittels ihren Gesellschaften an sich ziehen, innert kurzer Zeit eine erhebliche Beteiligung an Sulzer aufbauen und die damit verbun­denen Stimmrechte kontrollieren. Genau auf solche Ereig­nisse ist die Meldepflicht ausgerichtet. Damit soll das entsprechende Vorgehen ge­setzlich nicht ausgeschlossen beziehungsweise verboten werden. Die vom Gesetz bezweckte Offenlegung hat jedoch in derartigen Konstel­la­tionen wirksam zu werden, andernfalls die auf Transparenz und Kon­trolle gerichtete Gesetzesordnung unvollkommen bliebe. Diese Transak­tionen stellen somit einen indirekten Erwerb von Aktien im Sinne von Art. 9 Abs. 3 Bst. d BEHV-EKB i.V.m. Art. 20 Abs. 1 BEHG dar (BGE 136 II 304 E. 7.9).</w:t>
      </w:r>
    </w:p>
    <w:p>
      <w:r>
        <w:rPr>
          <w:b/>
        </w:rPr>
        <w:t>E. 11.5</w:t>
      </w:r>
    </w:p>
    <w:p>
      <w:r>
        <w:t>Nach Art. 10 Abs. 1 BEHV-EBK entsteht die Meldepflicht mit der Begründung des Anspruchs auf Erwerb oder Veräusserung von Betei­li­gungspapieren. Der Verordnungsgeber unterscheidet somit zwischen dem Zeitpunkt, in welchem eine faktische Zugriffsmöglichkeit auf den Erwerb von Aktien begründet wird, und demjenigen, in welchem die Über­tragung der Aktien tatsächlich stattfindet (Susanne Mettier, Of­fen­legung von Beteiligungen im Börsengesetz, Diss. Zürich 1999, S. 153). Vorliegend entstand die Meldepflicht demzufolge im Zeitpunkt des Erwerbs der Optionen mit Barausgleich. So verfügte der Beschwer­de­führer 1 am 13. Dezember 2006 gemäss seinen eigenen Angaben (...) über Optionen mit Realerfüllung von 4,40 % und über Optionen mit Bar­ausgleich im Umfang von 1,37 % an Sulzer, ausmachend 5,77 %. Mit Abschluss von 50'000 Optionen mit Barausgleich am 13. Dezember 2006 überschritt der Beschwerdeführer 1 gleichentags den 5 %-Schwellenwert. Am 11. sowie 12. Januar 2007 erwarb der Beschwerdeführer 1 dann Op­tionen mit Barausgleich und kam auf einen auf Aktien umgerechneten Anteil an Sulzer von 13,47 %. Damit wurde der Grenzwert von 10 % über­schritten und die Gruppe am 12. Januar 2007 meldepflichtig (aArt. 20 Abs. 1 BEHG). Die Vorinstanz hat somit zu Recht das nicht fristgerechte Melden der Of­fenlegung der Beteiligung an Sulzer festgestellt und diese als indirekten Erwerb nach Art. 9 Abs. 3 Bst. d BEHV-EBK qualifiziert. Entgegen der Verfügung vom 22. Januar 2009 unterliess am 13. Dezember 2006 einzig der Beschwerdeführer 1, am 12. Januar 2007 hingegen die organisierte Gruppe die börsenrechtlichen Meldungen.</w:t>
      </w:r>
    </w:p>
    <w:p>
      <w:r>
        <w:rPr>
          <w:b/>
        </w:rPr>
        <w:t>E. 12</w:t>
      </w:r>
    </w:p>
    <w:p>
      <w:r>
        <w:t>(...)</w:t>
      </w:r>
    </w:p>
    <w:p>
      <w:r>
        <w:rPr>
          <w:b/>
        </w:rPr>
        <w:t>E. 13</w:t>
      </w:r>
    </w:p>
    <w:p>
      <w:r>
        <w:t>Zusammenfassend ist festzuhalten, dass ab dem 12. Januar 2007 eine organisierte Gruppe zwischen den beiden Beschwerdeführern im Sinne von Art. 15 BEHV-EBK bestanden hat. Dabei verletzte diese ihre Meldepflichten nach aArt. 20 BEHG, indem sie am 12. Januar 2007 den 10 %-Schwellenwert an Sulzer überschritt und nicht fristgerecht meldete. Die von der Vorinstanz gerügte Meldepflichtverletzung vom 13. Dezem­ber 2006 infolge Überschreitung des 5 %-Schwellenwertes an Sulzer erfolgte indes einzig durch den Beschwerdeführer 1. Die Verfügung der FINMA vom 22. Januar 2009 geht somit in Bezug auf die Melde­pflicht­verletzung vom 13. Dezember 2006 zu weit, als sie zwischen dem Be­schwerdeführer 1 und 2 eine organisierte Gruppe annimmt und damit dem Beschwerdeführer 2 ebenfalls eine Verletzung nach aArt. 20 BEHG vorhält. Demgegenüber stellte die Vorinstanz zu Recht fest, dass im Rah­men der Offenlegungsmeldung der Everest GmbH vom 26. April 2007 die beiden Beschwerdeführer unzulässigerweise nicht sich selbst als wirt­schaftlich Berechtigte der RPR beziehungsweise der Millenium offen­legten (...). Die Beschwerde des Beschwerdeführers 1 ist demzu­folge vollumfänglich abzuweisen. Die Beschwerde des Beschwer­de­füh­rers 2 ist hingegen insoweit gutzuheissen, als dass ihm im Zeitpunkt des 13. Dezember 2006 keine Verletzung der börsenrechtlichen Melde­pflicht vorgeworfen werden kann. Soweit weitergehend ist die Beschwerde des Beschwerdeführers 2 jedoch abzuweisen. Sodann ist das Rechtsbegehren der Beschwerdeführer, das Verwaltungs­verfahren Nr. 571/2008/02066 sei einzustellen, infolge Abschluss des Ver­fahrens durch die Vorinstanz seit 30. Oktober 2009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